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8646"/>
      </w:tblGrid>
      <w:tr w:rsidR="005F7D0E" w:rsidRPr="00B736E0" w:rsidTr="00F60610">
        <w:trPr>
          <w:trHeight w:hRule="exact" w:val="766"/>
        </w:trPr>
        <w:tc>
          <w:tcPr>
            <w:tcW w:w="1277" w:type="dxa"/>
            <w:shd w:val="clear" w:color="auto" w:fill="auto"/>
          </w:tcPr>
          <w:p w:rsidR="005F7D0E" w:rsidRPr="00B736E0" w:rsidRDefault="005F7D0E" w:rsidP="00F60610">
            <w:pPr>
              <w:pStyle w:val="Enclosu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5F7D0E" w:rsidRPr="00100983" w:rsidRDefault="00F7183E" w:rsidP="00100983">
            <w:pPr>
              <w:pStyle w:val="Enclosure"/>
              <w:ind w:left="53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Приложение </w:t>
            </w:r>
            <w:r w:rsidR="0010098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5F7D0E" w:rsidRPr="00B736E0" w:rsidTr="00F60610">
        <w:trPr>
          <w:trHeight w:hRule="exact" w:val="1503"/>
        </w:trPr>
        <w:tc>
          <w:tcPr>
            <w:tcW w:w="9923" w:type="dxa"/>
            <w:gridSpan w:val="2"/>
            <w:shd w:val="clear" w:color="auto" w:fill="auto"/>
          </w:tcPr>
          <w:p w:rsidR="00F7183E" w:rsidRPr="00B736E0" w:rsidRDefault="00F7183E" w:rsidP="00F7183E">
            <w:pPr>
              <w:pStyle w:val="EnclosureIntroText"/>
              <w:tabs>
                <w:tab w:val="left" w:pos="2656"/>
              </w:tabs>
              <w:spacing w:befor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0" w:name="_Toc486844903"/>
          </w:p>
          <w:p w:rsidR="00F7183E" w:rsidRPr="00B736E0" w:rsidRDefault="00F7183E" w:rsidP="00F7183E">
            <w:pPr>
              <w:pStyle w:val="EnclosureIntroText"/>
              <w:tabs>
                <w:tab w:val="left" w:pos="2656"/>
              </w:tabs>
              <w:spacing w:before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bookmarkEnd w:id="0"/>
          <w:p w:rsidR="005F7D0E" w:rsidRPr="00B736E0" w:rsidRDefault="005F7D0E" w:rsidP="00F7183E">
            <w:pPr>
              <w:pStyle w:val="EnclosureIntroText"/>
              <w:tabs>
                <w:tab w:val="left" w:pos="2656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83E" w:rsidRPr="00B736E0" w:rsidTr="00F60610">
        <w:trPr>
          <w:trHeight w:hRule="exact" w:val="1503"/>
        </w:trPr>
        <w:tc>
          <w:tcPr>
            <w:tcW w:w="9923" w:type="dxa"/>
            <w:gridSpan w:val="2"/>
            <w:shd w:val="clear" w:color="auto" w:fill="auto"/>
          </w:tcPr>
          <w:p w:rsidR="00F7183E" w:rsidRPr="00B736E0" w:rsidRDefault="0092403A" w:rsidP="003D4F0D">
            <w:pPr>
              <w:pStyle w:val="EnclosureIntroText"/>
              <w:tabs>
                <w:tab w:val="left" w:pos="2656"/>
              </w:tabs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1" w:name="BijlagePag"/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        </w:t>
            </w:r>
            <w:r w:rsidR="003D4F0D">
              <w:rPr>
                <w:rFonts w:ascii="Times New Roman" w:hAnsi="Times New Roman"/>
                <w:sz w:val="24"/>
                <w:szCs w:val="24"/>
                <w:lang w:val="bg-BG"/>
              </w:rPr>
              <w:t>НАЧАЛЕН</w:t>
            </w:r>
            <w:r w:rsidR="00F6144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bookmarkStart w:id="2" w:name="_GoBack"/>
            <w:bookmarkEnd w:id="2"/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РИСК </w:t>
            </w:r>
            <w:r w:rsidR="003D4F0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</w:t>
            </w: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РЕГИСТЪР</w:t>
            </w:r>
            <w:bookmarkEnd w:id="1"/>
            <w:r w:rsidR="003D4F0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ПРОЕКТА</w:t>
            </w:r>
          </w:p>
        </w:tc>
      </w:tr>
      <w:tr w:rsidR="00F7183E" w:rsidRPr="00B736E0" w:rsidTr="00F60610">
        <w:trPr>
          <w:trHeight w:hRule="exact" w:val="1503"/>
        </w:trPr>
        <w:tc>
          <w:tcPr>
            <w:tcW w:w="9923" w:type="dxa"/>
            <w:gridSpan w:val="2"/>
            <w:shd w:val="clear" w:color="auto" w:fill="auto"/>
          </w:tcPr>
          <w:p w:rsidR="00F7183E" w:rsidRPr="00B736E0" w:rsidRDefault="00F7183E" w:rsidP="00F7183E">
            <w:pPr>
              <w:pStyle w:val="EnclosureIntroText"/>
              <w:tabs>
                <w:tab w:val="left" w:pos="2656"/>
              </w:tabs>
              <w:spacing w:before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5F7D0E" w:rsidRPr="00B736E0" w:rsidRDefault="005F7D0E" w:rsidP="005F7D0E">
      <w:pPr>
        <w:rPr>
          <w:rFonts w:ascii="Times New Roman" w:hAnsi="Times New Roman"/>
          <w:sz w:val="24"/>
          <w:szCs w:val="24"/>
        </w:rPr>
      </w:pPr>
    </w:p>
    <w:p w:rsidR="005F7D0E" w:rsidRPr="00B736E0" w:rsidRDefault="005F7D0E" w:rsidP="005F7D0E">
      <w:pPr>
        <w:rPr>
          <w:rFonts w:ascii="Times New Roman" w:hAnsi="Times New Roman"/>
          <w:sz w:val="24"/>
          <w:szCs w:val="24"/>
        </w:rPr>
      </w:pPr>
    </w:p>
    <w:p w:rsidR="005F7D0E" w:rsidRPr="00B736E0" w:rsidRDefault="005F7D0E" w:rsidP="005F7D0E">
      <w:pPr>
        <w:rPr>
          <w:rFonts w:ascii="Times New Roman" w:hAnsi="Times New Roman"/>
          <w:sz w:val="24"/>
          <w:szCs w:val="24"/>
        </w:rPr>
        <w:sectPr w:rsidR="005F7D0E" w:rsidRPr="00B736E0" w:rsidSect="005F7D0E">
          <w:footerReference w:type="default" r:id="rId7"/>
          <w:pgSz w:w="11906" w:h="16838" w:code="9"/>
          <w:pgMar w:top="1417" w:right="1417" w:bottom="1417" w:left="1417" w:header="850" w:footer="652" w:gutter="0"/>
          <w:paperSrc w:first="1001" w:other="1001"/>
          <w:cols w:space="708"/>
          <w:docGrid w:linePitch="258"/>
        </w:sectPr>
      </w:pPr>
    </w:p>
    <w:p w:rsidR="005F7D0E" w:rsidRPr="00B736E0" w:rsidRDefault="005F7D0E" w:rsidP="00701520">
      <w:pPr>
        <w:pStyle w:val="TableCaption"/>
        <w:ind w:left="0"/>
        <w:rPr>
          <w:rFonts w:ascii="Times New Roman" w:hAnsi="Times New Roman"/>
          <w:sz w:val="24"/>
          <w:szCs w:val="24"/>
        </w:rPr>
      </w:pPr>
      <w:r w:rsidRPr="00B736E0">
        <w:rPr>
          <w:rFonts w:ascii="Times New Roman" w:hAnsi="Times New Roman"/>
          <w:sz w:val="24"/>
          <w:szCs w:val="24"/>
          <w:lang w:val="bg-BG"/>
        </w:rPr>
        <w:lastRenderedPageBreak/>
        <w:t>Първоначален Регистър на Рисковете по Проекта</w:t>
      </w:r>
    </w:p>
    <w:p w:rsidR="005F7D0E" w:rsidRPr="00B736E0" w:rsidRDefault="005F7D0E" w:rsidP="005F7D0E">
      <w:pPr>
        <w:keepNext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bottom w:val="single" w:sz="2" w:space="0" w:color="auto"/>
          <w:insideH w:val="single" w:sz="6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24"/>
        <w:gridCol w:w="2051"/>
        <w:gridCol w:w="2096"/>
        <w:gridCol w:w="2366"/>
        <w:gridCol w:w="1697"/>
        <w:gridCol w:w="1368"/>
        <w:gridCol w:w="1308"/>
        <w:gridCol w:w="1457"/>
        <w:gridCol w:w="684"/>
        <w:gridCol w:w="141"/>
        <w:gridCol w:w="63"/>
        <w:gridCol w:w="63"/>
      </w:tblGrid>
      <w:tr w:rsidR="00A022DA" w:rsidRPr="00B736E0" w:rsidTr="00964E03">
        <w:trPr>
          <w:tblHeader/>
        </w:trPr>
        <w:tc>
          <w:tcPr>
            <w:tcW w:w="0" w:type="auto"/>
            <w:shd w:val="clear" w:color="auto" w:fill="CDFFFF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</w:t>
            </w:r>
          </w:p>
        </w:tc>
        <w:tc>
          <w:tcPr>
            <w:tcW w:w="0" w:type="auto"/>
            <w:shd w:val="clear" w:color="auto" w:fill="CDFFFF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Категория</w:t>
            </w:r>
          </w:p>
        </w:tc>
        <w:tc>
          <w:tcPr>
            <w:tcW w:w="0" w:type="auto"/>
            <w:shd w:val="clear" w:color="auto" w:fill="CDFFFF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Нежелано събитие</w:t>
            </w:r>
          </w:p>
        </w:tc>
        <w:tc>
          <w:tcPr>
            <w:tcW w:w="0" w:type="auto"/>
            <w:shd w:val="clear" w:color="auto" w:fill="CDFFFF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Причина</w:t>
            </w:r>
          </w:p>
        </w:tc>
        <w:tc>
          <w:tcPr>
            <w:tcW w:w="0" w:type="auto"/>
            <w:shd w:val="clear" w:color="auto" w:fill="CDFFFF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Резултат</w:t>
            </w:r>
          </w:p>
        </w:tc>
        <w:tc>
          <w:tcPr>
            <w:tcW w:w="0" w:type="auto"/>
            <w:shd w:val="clear" w:color="auto" w:fill="CDFFFF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Собственик на риска</w:t>
            </w:r>
          </w:p>
        </w:tc>
        <w:tc>
          <w:tcPr>
            <w:tcW w:w="0" w:type="auto"/>
            <w:shd w:val="clear" w:color="auto" w:fill="CDFFFF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Вероятност</w:t>
            </w:r>
          </w:p>
          <w:p w:rsidR="00A022DA" w:rsidRPr="00B736E0" w:rsidRDefault="00A022DA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(В)</w:t>
            </w:r>
          </w:p>
        </w:tc>
        <w:tc>
          <w:tcPr>
            <w:tcW w:w="0" w:type="auto"/>
            <w:shd w:val="clear" w:color="auto" w:fill="CDFFFF"/>
          </w:tcPr>
          <w:p w:rsidR="00A022DA" w:rsidRPr="00B736E0" w:rsidRDefault="00A022DA" w:rsidP="00701520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Значимост на последиците</w:t>
            </w:r>
          </w:p>
          <w:p w:rsidR="00A022DA" w:rsidRPr="00B736E0" w:rsidRDefault="00A022DA" w:rsidP="00701520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(П)</w:t>
            </w:r>
          </w:p>
        </w:tc>
        <w:tc>
          <w:tcPr>
            <w:tcW w:w="484" w:type="dxa"/>
            <w:shd w:val="clear" w:color="auto" w:fill="CDFFFF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Ниво на риск (ВхП)</w:t>
            </w:r>
          </w:p>
        </w:tc>
        <w:tc>
          <w:tcPr>
            <w:tcW w:w="141" w:type="dxa"/>
            <w:shd w:val="clear" w:color="auto" w:fill="CDFFFF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shd w:val="clear" w:color="auto" w:fill="CDFFFF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shd w:val="clear" w:color="auto" w:fill="CDFFFF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022DA" w:rsidRPr="00B736E0" w:rsidTr="00964E03"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Организационен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Няма налична информация от обекта</w:t>
            </w: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Недостатъчна подготовка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Непълно изпълнение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Възлагащи органи</w:t>
            </w: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84" w:type="dxa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41" w:type="dxa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022DA" w:rsidRPr="00B736E0" w:rsidTr="00964E03"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Организационен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Прекалено закъсняла информация от обекта</w:t>
            </w: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Прекалено закъснял отговор от заинтересованите страни Заинтересованите страни не са информирани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Забавяне на проекта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Възлагащи органи</w:t>
            </w: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84" w:type="dxa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41" w:type="dxa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022DA" w:rsidRPr="00B736E0" w:rsidTr="00964E03"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Организационен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Протест на заинтересованите страни</w:t>
            </w: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Недостатъчно добро сътрудничество</w:t>
            </w: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ангажираност на заинтересованите страни</w:t>
            </w: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Заинтересованите страни не са информирани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Забавяне на проекта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Възлагащи органи</w:t>
            </w: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84" w:type="dxa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41" w:type="dxa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022DA" w:rsidRPr="00B736E0" w:rsidTr="00964E03"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Организационен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Отварянето на склада е отложено</w:t>
            </w: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Собственикът на склада не е информиран</w:t>
            </w:r>
          </w:p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Комисията е закъсняла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Забавяне на проекта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Възлагащи органи</w:t>
            </w: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84" w:type="dxa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41" w:type="dxa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022DA" w:rsidRPr="00B736E0" w:rsidTr="00964E03"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Екологичен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Работа при екстремни </w:t>
            </w: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метеорологични условия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Поради ограничения в планирането работата продължава при тези условия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Забавяне</w:t>
            </w:r>
          </w:p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Мигриране на замърсителите извън обекта 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Изпълнител</w:t>
            </w: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84" w:type="dxa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41" w:type="dxa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022DA" w:rsidRPr="00B736E0" w:rsidTr="00964E03"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Технически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Работа в нестабилни складове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Взетите мерки са недостатъчни, за да се стабилизира конструкцията на склада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Инцидент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Изпълнител</w:t>
            </w: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84" w:type="dxa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41" w:type="dxa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022DA" w:rsidRPr="00B736E0" w:rsidTr="00964E03"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Технически</w:t>
            </w:r>
          </w:p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Финансов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Инвентарните данни и реалните не съвпадат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Актуализираните инвентарни данни </w:t>
            </w: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са верни 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Забавяне</w:t>
            </w:r>
          </w:p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Не всички планирани основни складове</w:t>
            </w: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могат да бъдат почистени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Изпълнител</w:t>
            </w: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84" w:type="dxa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141" w:type="dxa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022DA" w:rsidRPr="00B736E0" w:rsidTr="00964E03"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Пространствен</w:t>
            </w:r>
          </w:p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Финансов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Неприемливо </w:t>
            </w: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обезпокояване на хората, живеещи около обекта</w:t>
            </w:r>
          </w:p>
        </w:tc>
        <w:tc>
          <w:tcPr>
            <w:tcW w:w="0" w:type="auto"/>
            <w:hideMark/>
          </w:tcPr>
          <w:p w:rsidR="00A022DA" w:rsidRPr="00B736E0" w:rsidRDefault="00A022DA" w:rsidP="00E87CAF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Взети недостатъчни мерки за контрол на емисиите във въздуха и шум </w:t>
            </w: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Хората са изложени на опасност от замърсяване</w:t>
            </w:r>
          </w:p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Хората трябва да бъдат евакуирани</w:t>
            </w:r>
          </w:p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Претенции</w:t>
            </w:r>
          </w:p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Здравословни проблеми</w:t>
            </w:r>
          </w:p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Накърнена репутация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Изпълнител</w:t>
            </w: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84" w:type="dxa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41" w:type="dxa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022DA" w:rsidRPr="00B736E0" w:rsidTr="00964E03"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Юридически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Работата е спряна от властите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Не са налични всички разрешителни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Забавяне</w:t>
            </w:r>
          </w:p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Не всички планирани основни складове</w:t>
            </w: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могат да бъдат почистени</w:t>
            </w: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Изпълнител</w:t>
            </w: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0" w:type="auto"/>
          </w:tcPr>
          <w:p w:rsidR="00A022DA" w:rsidRPr="00B736E0" w:rsidRDefault="00A022DA" w:rsidP="00E87CAF">
            <w:pPr>
              <w:tabs>
                <w:tab w:val="clear" w:pos="1418"/>
                <w:tab w:val="clear" w:pos="2835"/>
                <w:tab w:val="clear" w:pos="4253"/>
                <w:tab w:val="clear" w:pos="5670"/>
                <w:tab w:val="clear" w:pos="7088"/>
                <w:tab w:val="left" w:pos="708"/>
              </w:tabs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ab/>
            </w: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484" w:type="dxa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41" w:type="dxa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022DA" w:rsidRPr="00B736E0" w:rsidTr="00964E03"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Социален</w:t>
            </w:r>
          </w:p>
        </w:tc>
        <w:tc>
          <w:tcPr>
            <w:tcW w:w="0" w:type="auto"/>
            <w:hideMark/>
          </w:tcPr>
          <w:p w:rsidR="00A022DA" w:rsidRPr="00B736E0" w:rsidRDefault="00A022DA" w:rsidP="005F7D0E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Собствениците пречат на д</w:t>
            </w: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йността в обекта</w:t>
            </w: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Собствениците не са информирани</w:t>
            </w:r>
          </w:p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Собствениците не са останали доволни след приключване на дейността в обекта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Забавяне</w:t>
            </w:r>
          </w:p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Не всички планирани основни складове</w:t>
            </w: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могат да бъдат почистени</w:t>
            </w:r>
          </w:p>
        </w:tc>
        <w:tc>
          <w:tcPr>
            <w:tcW w:w="0" w:type="auto"/>
            <w:hideMark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Възлагащи органи</w:t>
            </w:r>
          </w:p>
        </w:tc>
        <w:tc>
          <w:tcPr>
            <w:tcW w:w="0" w:type="auto"/>
          </w:tcPr>
          <w:p w:rsidR="00A022DA" w:rsidRPr="00B736E0" w:rsidRDefault="00405DC0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84" w:type="dxa"/>
          </w:tcPr>
          <w:p w:rsidR="00A022DA" w:rsidRPr="00B736E0" w:rsidRDefault="00405DC0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41" w:type="dxa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022DA" w:rsidRPr="00B736E0" w:rsidTr="00964E03"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736E0">
              <w:rPr>
                <w:rFonts w:ascii="Times New Roman" w:hAnsi="Times New Roman"/>
                <w:sz w:val="24"/>
                <w:szCs w:val="24"/>
              </w:rPr>
              <w:t>Технологичен</w:t>
            </w:r>
            <w:proofErr w:type="spellEnd"/>
            <w:r w:rsidRPr="00B73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36E0">
              <w:rPr>
                <w:rFonts w:ascii="Times New Roman" w:hAnsi="Times New Roman"/>
                <w:sz w:val="24"/>
                <w:szCs w:val="24"/>
              </w:rPr>
              <w:t>риск</w:t>
            </w:r>
            <w:proofErr w:type="spellEnd"/>
            <w:r w:rsidRPr="00B736E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B736E0">
              <w:rPr>
                <w:rFonts w:ascii="Times New Roman" w:hAnsi="Times New Roman"/>
                <w:sz w:val="24"/>
                <w:szCs w:val="24"/>
              </w:rPr>
              <w:t>риск</w:t>
            </w:r>
            <w:proofErr w:type="spellEnd"/>
            <w:r w:rsidRPr="00B736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36E0">
              <w:rPr>
                <w:rFonts w:ascii="Times New Roman" w:hAnsi="Times New Roman"/>
                <w:sz w:val="24"/>
                <w:szCs w:val="24"/>
              </w:rPr>
              <w:t>свързан</w:t>
            </w:r>
            <w:proofErr w:type="spellEnd"/>
            <w:r w:rsidRPr="00B736E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B736E0">
              <w:rPr>
                <w:rFonts w:ascii="Times New Roman" w:hAnsi="Times New Roman"/>
                <w:sz w:val="24"/>
                <w:szCs w:val="24"/>
              </w:rPr>
              <w:t>информационните</w:t>
            </w:r>
            <w:proofErr w:type="spellEnd"/>
            <w:r w:rsidRPr="00B73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36E0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0" w:type="auto"/>
          </w:tcPr>
          <w:p w:rsidR="00A022DA" w:rsidRPr="00B736E0" w:rsidRDefault="00A022DA" w:rsidP="005F7D0E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Срив в софтуера или хардуера на ключови информационни системи</w:t>
            </w:r>
          </w:p>
        </w:tc>
        <w:tc>
          <w:tcPr>
            <w:tcW w:w="0" w:type="auto"/>
          </w:tcPr>
          <w:p w:rsidR="00A022DA" w:rsidRPr="00B736E0" w:rsidRDefault="00A022DA" w:rsidP="00964E03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Използване на стари технологии, пробив в информационната сигурност или от използването на нови информационни системи, които не са достатъчно изпробвани или служителите не са обучени на необходимото ниво.</w:t>
            </w: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Технологични проблеми при обработката и архивирането на информацията</w:t>
            </w:r>
          </w:p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Забавяне на изпълнението</w:t>
            </w:r>
          </w:p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Възлагащи органи</w:t>
            </w:r>
          </w:p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Изпълнител</w:t>
            </w: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84" w:type="dxa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41" w:type="dxa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022DA" w:rsidRPr="00B736E0" w:rsidTr="00964E03"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Природни бедствия, аварии, саботажи и терористични атаки</w:t>
            </w:r>
          </w:p>
        </w:tc>
        <w:tc>
          <w:tcPr>
            <w:tcW w:w="0" w:type="auto"/>
          </w:tcPr>
          <w:p w:rsidR="00A022DA" w:rsidRPr="00B736E0" w:rsidRDefault="00A022DA" w:rsidP="00F9397D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Земетресения, наводнения, пожари, повреди (умишлени и неумишлени) в използваната техника и транспортни средства</w:t>
            </w: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Неочаквани природни катаклизми</w:t>
            </w:r>
          </w:p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Непредвидени аварии</w:t>
            </w:r>
          </w:p>
        </w:tc>
        <w:tc>
          <w:tcPr>
            <w:tcW w:w="0" w:type="auto"/>
          </w:tcPr>
          <w:p w:rsidR="00A022DA" w:rsidRPr="00B736E0" w:rsidRDefault="00A022DA" w:rsidP="00F9397D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Забавяне</w:t>
            </w:r>
          </w:p>
          <w:p w:rsidR="00A022DA" w:rsidRPr="00B736E0" w:rsidRDefault="00A022DA" w:rsidP="00F9397D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Мигриране на замърсителите извън обекта</w:t>
            </w: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Изпълнител</w:t>
            </w: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84" w:type="dxa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141" w:type="dxa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A022DA" w:rsidRPr="00B736E0" w:rsidRDefault="00A022DA">
            <w:pPr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701520" w:rsidRPr="00B736E0" w:rsidRDefault="00701520">
      <w:pPr>
        <w:rPr>
          <w:rFonts w:ascii="Times New Roman" w:hAnsi="Times New Roman"/>
          <w:sz w:val="24"/>
          <w:szCs w:val="24"/>
          <w:lang w:val="bg-BG"/>
        </w:rPr>
      </w:pPr>
      <w:r w:rsidRPr="00B736E0">
        <w:rPr>
          <w:rFonts w:ascii="Times New Roman" w:hAnsi="Times New Roman"/>
          <w:b/>
          <w:sz w:val="24"/>
          <w:szCs w:val="24"/>
          <w:lang w:val="bg-BG"/>
        </w:rPr>
        <w:t>Легенда</w:t>
      </w:r>
      <w:r w:rsidRPr="00B736E0">
        <w:rPr>
          <w:rFonts w:ascii="Times New Roman" w:hAnsi="Times New Roman"/>
          <w:sz w:val="24"/>
          <w:szCs w:val="24"/>
          <w:lang w:val="bg-BG"/>
        </w:rPr>
        <w:t>:</w:t>
      </w:r>
    </w:p>
    <w:p w:rsidR="00701520" w:rsidRPr="00B736E0" w:rsidRDefault="00701520">
      <w:pPr>
        <w:rPr>
          <w:rFonts w:ascii="Times New Roman" w:hAnsi="Times New Roman"/>
          <w:sz w:val="24"/>
          <w:szCs w:val="24"/>
          <w:lang w:val="bg-BG"/>
        </w:rPr>
      </w:pPr>
      <w:r w:rsidRPr="00B736E0">
        <w:rPr>
          <w:rFonts w:ascii="Times New Roman" w:hAnsi="Times New Roman"/>
          <w:sz w:val="24"/>
          <w:szCs w:val="24"/>
          <w:lang w:val="bg-BG"/>
        </w:rPr>
        <w:t>Вероятност: 0 - Практически невъзможна; 1 - Малко вероятна; 2 – Средна; 3</w:t>
      </w:r>
      <w:r w:rsidR="00E87CAF" w:rsidRPr="00B736E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736E0">
        <w:rPr>
          <w:rFonts w:ascii="Times New Roman" w:hAnsi="Times New Roman"/>
          <w:sz w:val="24"/>
          <w:szCs w:val="24"/>
          <w:lang w:val="bg-BG"/>
        </w:rPr>
        <w:t>-</w:t>
      </w:r>
      <w:r w:rsidR="00E87CAF" w:rsidRPr="00B736E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736E0">
        <w:rPr>
          <w:rFonts w:ascii="Times New Roman" w:hAnsi="Times New Roman"/>
          <w:sz w:val="24"/>
          <w:szCs w:val="24"/>
          <w:lang w:val="bg-BG"/>
        </w:rPr>
        <w:t>Висока</w:t>
      </w:r>
    </w:p>
    <w:p w:rsidR="00F12338" w:rsidRPr="00B736E0" w:rsidRDefault="00701520" w:rsidP="00701520">
      <w:pPr>
        <w:rPr>
          <w:rFonts w:ascii="Times New Roman" w:hAnsi="Times New Roman"/>
          <w:sz w:val="24"/>
          <w:szCs w:val="24"/>
          <w:lang w:val="bg-BG"/>
        </w:rPr>
      </w:pPr>
      <w:r w:rsidRPr="00B736E0">
        <w:rPr>
          <w:rFonts w:ascii="Times New Roman" w:hAnsi="Times New Roman"/>
          <w:sz w:val="24"/>
          <w:szCs w:val="24"/>
          <w:lang w:val="bg-BG"/>
        </w:rPr>
        <w:t>Значимост на последиците: 1</w:t>
      </w:r>
      <w:r w:rsidR="00E87CAF" w:rsidRPr="00B736E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736E0">
        <w:rPr>
          <w:rFonts w:ascii="Times New Roman" w:hAnsi="Times New Roman"/>
          <w:sz w:val="24"/>
          <w:szCs w:val="24"/>
          <w:lang w:val="bg-BG"/>
        </w:rPr>
        <w:t>-</w:t>
      </w:r>
      <w:r w:rsidR="00E87CAF" w:rsidRPr="00B736E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736E0">
        <w:rPr>
          <w:rFonts w:ascii="Times New Roman" w:hAnsi="Times New Roman"/>
          <w:sz w:val="24"/>
          <w:szCs w:val="24"/>
          <w:lang w:val="bg-BG"/>
        </w:rPr>
        <w:t>Малки; 2</w:t>
      </w:r>
      <w:r w:rsidR="00E87CAF" w:rsidRPr="00B736E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736E0">
        <w:rPr>
          <w:rFonts w:ascii="Times New Roman" w:hAnsi="Times New Roman"/>
          <w:sz w:val="24"/>
          <w:szCs w:val="24"/>
          <w:lang w:val="bg-BG"/>
        </w:rPr>
        <w:t>-</w:t>
      </w:r>
      <w:r w:rsidR="00E87CAF" w:rsidRPr="00B736E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736E0">
        <w:rPr>
          <w:rFonts w:ascii="Times New Roman" w:hAnsi="Times New Roman"/>
          <w:sz w:val="24"/>
          <w:szCs w:val="24"/>
          <w:lang w:val="bg-BG"/>
        </w:rPr>
        <w:t>Средни; 3</w:t>
      </w:r>
      <w:r w:rsidR="00E87CAF" w:rsidRPr="00B736E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736E0">
        <w:rPr>
          <w:rFonts w:ascii="Times New Roman" w:hAnsi="Times New Roman"/>
          <w:sz w:val="24"/>
          <w:szCs w:val="24"/>
          <w:lang w:val="bg-BG"/>
        </w:rPr>
        <w:t>-</w:t>
      </w:r>
      <w:r w:rsidR="00E87CAF" w:rsidRPr="00B736E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736E0">
        <w:rPr>
          <w:rFonts w:ascii="Times New Roman" w:hAnsi="Times New Roman"/>
          <w:sz w:val="24"/>
          <w:szCs w:val="24"/>
          <w:lang w:val="bg-BG"/>
        </w:rPr>
        <w:t>Сериозни; 4</w:t>
      </w:r>
      <w:r w:rsidR="00E87CAF" w:rsidRPr="00B736E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736E0">
        <w:rPr>
          <w:rFonts w:ascii="Times New Roman" w:hAnsi="Times New Roman"/>
          <w:sz w:val="24"/>
          <w:szCs w:val="24"/>
          <w:lang w:val="bg-BG"/>
        </w:rPr>
        <w:t>-</w:t>
      </w:r>
      <w:r w:rsidR="00E87CAF" w:rsidRPr="00B736E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736E0">
        <w:rPr>
          <w:rFonts w:ascii="Times New Roman" w:hAnsi="Times New Roman"/>
          <w:sz w:val="24"/>
          <w:szCs w:val="24"/>
          <w:lang w:val="bg-BG"/>
        </w:rPr>
        <w:t>Опасни; 5</w:t>
      </w:r>
      <w:r w:rsidR="00E87CAF" w:rsidRPr="00B736E0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Pr="00B736E0">
        <w:rPr>
          <w:rFonts w:ascii="Times New Roman" w:hAnsi="Times New Roman"/>
          <w:sz w:val="24"/>
          <w:szCs w:val="24"/>
          <w:lang w:val="bg-BG"/>
        </w:rPr>
        <w:t>Катастрофални</w:t>
      </w:r>
    </w:p>
    <w:p w:rsidR="00F12338" w:rsidRPr="00B736E0" w:rsidRDefault="00F12338">
      <w:pPr>
        <w:tabs>
          <w:tab w:val="clear" w:pos="1418"/>
          <w:tab w:val="clear" w:pos="2835"/>
          <w:tab w:val="clear" w:pos="4253"/>
          <w:tab w:val="clear" w:pos="5670"/>
          <w:tab w:val="clear" w:pos="7088"/>
        </w:tabs>
        <w:spacing w:after="160" w:line="259" w:lineRule="auto"/>
        <w:rPr>
          <w:rFonts w:ascii="Times New Roman" w:hAnsi="Times New Roman"/>
          <w:sz w:val="24"/>
          <w:szCs w:val="24"/>
          <w:lang w:val="bg-BG"/>
        </w:rPr>
        <w:sectPr w:rsidR="00F12338" w:rsidRPr="00B736E0" w:rsidSect="00CE317C">
          <w:footerReference w:type="even" r:id="rId8"/>
          <w:footerReference w:type="default" r:id="rId9"/>
          <w:type w:val="oddPage"/>
          <w:pgSz w:w="16838" w:h="11906" w:orient="landscape" w:code="9"/>
          <w:pgMar w:top="1843" w:right="2155" w:bottom="1843" w:left="1065" w:header="1304" w:footer="652" w:gutter="0"/>
          <w:paperSrc w:first="1001" w:other="1001"/>
          <w:cols w:space="708"/>
          <w:docGrid w:linePitch="258"/>
        </w:sectPr>
      </w:pPr>
      <w:r w:rsidRPr="00B736E0">
        <w:rPr>
          <w:rFonts w:ascii="Times New Roman" w:hAnsi="Times New Roman"/>
          <w:sz w:val="24"/>
          <w:szCs w:val="24"/>
          <w:lang w:val="bg-BG"/>
        </w:rPr>
        <w:br w:type="page"/>
      </w:r>
    </w:p>
    <w:p w:rsidR="00F12338" w:rsidRDefault="00F12338" w:rsidP="00F12338">
      <w:pPr>
        <w:pStyle w:val="Enclosure"/>
        <w:ind w:left="537"/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736E0">
        <w:rPr>
          <w:rFonts w:ascii="Times New Roman" w:hAnsi="Times New Roman"/>
          <w:sz w:val="24"/>
          <w:szCs w:val="24"/>
          <w:lang w:val="bg-BG"/>
        </w:rPr>
        <w:t>Appendix</w:t>
      </w:r>
      <w:proofErr w:type="spellEnd"/>
      <w:r w:rsidRPr="00B736E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00983">
        <w:rPr>
          <w:rFonts w:ascii="Times New Roman" w:hAnsi="Times New Roman"/>
          <w:sz w:val="24"/>
          <w:szCs w:val="24"/>
          <w:lang w:val="en-US"/>
        </w:rPr>
        <w:t>8</w:t>
      </w:r>
    </w:p>
    <w:p w:rsidR="00100983" w:rsidRPr="00100983" w:rsidRDefault="00100983" w:rsidP="00F12338">
      <w:pPr>
        <w:pStyle w:val="Enclosure"/>
        <w:ind w:left="53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F12338" w:rsidRPr="00B736E0" w:rsidRDefault="00F12338" w:rsidP="00F12338">
      <w:pPr>
        <w:rPr>
          <w:rFonts w:ascii="Times New Roman" w:hAnsi="Times New Roman"/>
          <w:sz w:val="24"/>
          <w:szCs w:val="24"/>
        </w:rPr>
      </w:pPr>
    </w:p>
    <w:p w:rsidR="00F12338" w:rsidRPr="00B736E0" w:rsidRDefault="00F12338" w:rsidP="00F12338">
      <w:pPr>
        <w:tabs>
          <w:tab w:val="clear" w:pos="1418"/>
          <w:tab w:val="clear" w:pos="2835"/>
          <w:tab w:val="clear" w:pos="4253"/>
          <w:tab w:val="clear" w:pos="5670"/>
          <w:tab w:val="clear" w:pos="70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12338" w:rsidRPr="00B736E0" w:rsidRDefault="00F12338" w:rsidP="00F12338">
      <w:pPr>
        <w:tabs>
          <w:tab w:val="clear" w:pos="1418"/>
          <w:tab w:val="clear" w:pos="2835"/>
          <w:tab w:val="clear" w:pos="4253"/>
          <w:tab w:val="clear" w:pos="5670"/>
          <w:tab w:val="clear" w:pos="70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12338" w:rsidRPr="00B736E0" w:rsidRDefault="00F12338" w:rsidP="00F12338">
      <w:pPr>
        <w:tabs>
          <w:tab w:val="clear" w:pos="1418"/>
          <w:tab w:val="clear" w:pos="2835"/>
          <w:tab w:val="clear" w:pos="4253"/>
          <w:tab w:val="clear" w:pos="5670"/>
          <w:tab w:val="clear" w:pos="70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12338" w:rsidRPr="00B736E0" w:rsidRDefault="00F12338" w:rsidP="00F12338">
      <w:pPr>
        <w:pStyle w:val="EnclosureIntroText"/>
        <w:tabs>
          <w:tab w:val="left" w:pos="2656"/>
        </w:tabs>
        <w:spacing w:before="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12338" w:rsidRPr="003D4F0D" w:rsidRDefault="00F12338" w:rsidP="00F12338">
      <w:pPr>
        <w:pStyle w:val="EnclosureIntroText"/>
        <w:tabs>
          <w:tab w:val="left" w:pos="2656"/>
        </w:tabs>
        <w:spacing w:before="0"/>
        <w:jc w:val="center"/>
        <w:rPr>
          <w:rFonts w:ascii="Times New Roman Bold" w:hAnsi="Times New Roman Bold"/>
          <w:caps/>
          <w:sz w:val="24"/>
          <w:szCs w:val="24"/>
          <w:lang w:val="bg-BG"/>
        </w:rPr>
      </w:pPr>
      <w:r w:rsidRPr="003D4F0D">
        <w:rPr>
          <w:rFonts w:ascii="Times New Roman Bold" w:hAnsi="Times New Roman Bold"/>
          <w:caps/>
          <w:sz w:val="24"/>
          <w:szCs w:val="24"/>
          <w:lang w:val="bg-BG"/>
        </w:rPr>
        <w:t>Initial Project Risk Register</w:t>
      </w:r>
    </w:p>
    <w:p w:rsidR="00F12338" w:rsidRPr="00B736E0" w:rsidRDefault="00F12338" w:rsidP="00F12338">
      <w:pPr>
        <w:rPr>
          <w:rFonts w:ascii="Times New Roman" w:hAnsi="Times New Roman"/>
          <w:sz w:val="24"/>
          <w:szCs w:val="24"/>
          <w:lang w:val="bg-BG"/>
        </w:rPr>
      </w:pPr>
    </w:p>
    <w:p w:rsidR="00F12338" w:rsidRPr="00B736E0" w:rsidRDefault="00F12338" w:rsidP="00F12338">
      <w:pPr>
        <w:rPr>
          <w:rFonts w:ascii="Times New Roman" w:hAnsi="Times New Roman"/>
          <w:sz w:val="24"/>
          <w:szCs w:val="24"/>
          <w:lang w:val="bg-BG"/>
        </w:rPr>
      </w:pPr>
    </w:p>
    <w:p w:rsidR="00F12338" w:rsidRPr="00B736E0" w:rsidRDefault="00F12338" w:rsidP="00F12338">
      <w:pPr>
        <w:rPr>
          <w:rFonts w:ascii="Times New Roman" w:hAnsi="Times New Roman"/>
          <w:sz w:val="24"/>
          <w:szCs w:val="24"/>
          <w:lang w:val="bg-BG"/>
        </w:rPr>
      </w:pPr>
    </w:p>
    <w:p w:rsidR="00F12338" w:rsidRPr="00B736E0" w:rsidRDefault="00F12338" w:rsidP="00F12338">
      <w:pPr>
        <w:rPr>
          <w:rFonts w:ascii="Times New Roman" w:hAnsi="Times New Roman"/>
          <w:sz w:val="24"/>
          <w:szCs w:val="24"/>
          <w:lang w:val="bg-BG"/>
        </w:rPr>
      </w:pPr>
    </w:p>
    <w:p w:rsidR="00F12338" w:rsidRPr="00B736E0" w:rsidRDefault="00F12338" w:rsidP="00F12338">
      <w:pPr>
        <w:rPr>
          <w:rFonts w:ascii="Times New Roman" w:hAnsi="Times New Roman"/>
          <w:sz w:val="24"/>
          <w:szCs w:val="24"/>
          <w:lang w:val="bg-BG"/>
        </w:rPr>
      </w:pPr>
    </w:p>
    <w:p w:rsidR="00F12338" w:rsidRPr="00B736E0" w:rsidRDefault="00F12338" w:rsidP="00F12338">
      <w:pPr>
        <w:rPr>
          <w:rFonts w:ascii="Times New Roman" w:hAnsi="Times New Roman"/>
          <w:sz w:val="24"/>
          <w:szCs w:val="24"/>
          <w:lang w:val="bg-BG"/>
        </w:rPr>
      </w:pPr>
    </w:p>
    <w:p w:rsidR="00F12338" w:rsidRPr="00B736E0" w:rsidRDefault="00F12338" w:rsidP="00F12338">
      <w:pPr>
        <w:rPr>
          <w:rFonts w:ascii="Times New Roman" w:hAnsi="Times New Roman"/>
          <w:sz w:val="24"/>
          <w:szCs w:val="24"/>
          <w:lang w:val="bg-BG"/>
        </w:rPr>
      </w:pPr>
    </w:p>
    <w:p w:rsidR="00F12338" w:rsidRPr="00B736E0" w:rsidRDefault="00F12338" w:rsidP="00F12338">
      <w:pPr>
        <w:rPr>
          <w:rFonts w:ascii="Times New Roman" w:hAnsi="Times New Roman"/>
          <w:sz w:val="24"/>
          <w:szCs w:val="24"/>
          <w:lang w:val="bg-BG"/>
        </w:rPr>
      </w:pPr>
    </w:p>
    <w:p w:rsidR="00F12338" w:rsidRPr="00B736E0" w:rsidRDefault="00F12338" w:rsidP="00F12338">
      <w:pPr>
        <w:rPr>
          <w:rFonts w:ascii="Times New Roman" w:hAnsi="Times New Roman"/>
          <w:sz w:val="24"/>
          <w:szCs w:val="24"/>
          <w:lang w:val="bg-BG"/>
        </w:rPr>
      </w:pPr>
    </w:p>
    <w:p w:rsidR="00F12338" w:rsidRPr="00B736E0" w:rsidRDefault="00F12338" w:rsidP="00F12338">
      <w:pPr>
        <w:rPr>
          <w:rFonts w:ascii="Times New Roman" w:hAnsi="Times New Roman"/>
          <w:sz w:val="24"/>
          <w:szCs w:val="24"/>
          <w:lang w:val="bg-BG"/>
        </w:rPr>
      </w:pPr>
    </w:p>
    <w:p w:rsidR="00F12338" w:rsidRPr="00B736E0" w:rsidRDefault="00F12338" w:rsidP="00F12338">
      <w:pPr>
        <w:rPr>
          <w:rFonts w:ascii="Times New Roman" w:hAnsi="Times New Roman"/>
          <w:sz w:val="24"/>
          <w:szCs w:val="24"/>
          <w:lang w:val="bg-BG"/>
        </w:rPr>
      </w:pPr>
    </w:p>
    <w:p w:rsidR="00F12338" w:rsidRPr="00B736E0" w:rsidRDefault="00F12338" w:rsidP="00F12338">
      <w:pPr>
        <w:rPr>
          <w:rFonts w:ascii="Times New Roman" w:hAnsi="Times New Roman"/>
          <w:sz w:val="24"/>
          <w:szCs w:val="24"/>
          <w:lang w:val="bg-BG"/>
        </w:rPr>
      </w:pPr>
    </w:p>
    <w:p w:rsidR="00F12338" w:rsidRPr="00B736E0" w:rsidRDefault="00F12338" w:rsidP="00F12338">
      <w:pPr>
        <w:rPr>
          <w:rFonts w:ascii="Times New Roman" w:hAnsi="Times New Roman"/>
          <w:sz w:val="24"/>
          <w:szCs w:val="24"/>
          <w:lang w:val="bg-BG"/>
        </w:rPr>
      </w:pPr>
    </w:p>
    <w:p w:rsidR="00F12338" w:rsidRPr="00B736E0" w:rsidRDefault="00F12338" w:rsidP="00F12338">
      <w:pPr>
        <w:rPr>
          <w:rFonts w:ascii="Times New Roman" w:hAnsi="Times New Roman"/>
          <w:sz w:val="24"/>
          <w:szCs w:val="24"/>
          <w:lang w:val="bg-BG"/>
        </w:rPr>
      </w:pPr>
    </w:p>
    <w:p w:rsidR="00F12338" w:rsidRPr="00B736E0" w:rsidRDefault="00F12338" w:rsidP="00F12338">
      <w:pPr>
        <w:rPr>
          <w:rFonts w:ascii="Times New Roman" w:hAnsi="Times New Roman"/>
          <w:sz w:val="24"/>
          <w:szCs w:val="24"/>
          <w:lang w:val="bg-BG"/>
        </w:rPr>
      </w:pPr>
    </w:p>
    <w:p w:rsidR="00F12338" w:rsidRPr="00B736E0" w:rsidRDefault="00F12338" w:rsidP="00F12338">
      <w:pPr>
        <w:rPr>
          <w:rFonts w:ascii="Times New Roman" w:hAnsi="Times New Roman"/>
          <w:sz w:val="24"/>
          <w:szCs w:val="24"/>
          <w:lang w:val="bg-BG"/>
        </w:rPr>
      </w:pPr>
    </w:p>
    <w:p w:rsidR="00F12338" w:rsidRPr="00B736E0" w:rsidRDefault="00F12338" w:rsidP="00F12338">
      <w:pPr>
        <w:rPr>
          <w:rFonts w:ascii="Times New Roman" w:hAnsi="Times New Roman"/>
          <w:sz w:val="24"/>
          <w:szCs w:val="24"/>
          <w:lang w:val="bg-BG"/>
        </w:rPr>
      </w:pPr>
    </w:p>
    <w:p w:rsidR="00F12338" w:rsidRPr="00B736E0" w:rsidRDefault="00F12338" w:rsidP="00F12338">
      <w:pPr>
        <w:rPr>
          <w:rFonts w:ascii="Times New Roman" w:hAnsi="Times New Roman"/>
          <w:sz w:val="24"/>
          <w:szCs w:val="24"/>
          <w:lang w:val="bg-BG"/>
        </w:rPr>
      </w:pPr>
    </w:p>
    <w:p w:rsidR="00F12338" w:rsidRPr="00B736E0" w:rsidRDefault="00F12338" w:rsidP="00F12338">
      <w:pPr>
        <w:rPr>
          <w:rFonts w:ascii="Times New Roman" w:hAnsi="Times New Roman"/>
          <w:sz w:val="24"/>
          <w:szCs w:val="24"/>
          <w:lang w:val="bg-BG"/>
        </w:rPr>
      </w:pPr>
    </w:p>
    <w:p w:rsidR="00F12338" w:rsidRPr="00B736E0" w:rsidRDefault="00F12338" w:rsidP="00F12338">
      <w:pPr>
        <w:rPr>
          <w:rFonts w:ascii="Times New Roman" w:hAnsi="Times New Roman"/>
          <w:sz w:val="24"/>
          <w:szCs w:val="24"/>
          <w:lang w:val="bg-BG"/>
        </w:rPr>
      </w:pPr>
    </w:p>
    <w:p w:rsidR="00F12338" w:rsidRPr="00B736E0" w:rsidRDefault="00F12338" w:rsidP="00F12338">
      <w:pPr>
        <w:rPr>
          <w:rFonts w:ascii="Times New Roman" w:hAnsi="Times New Roman"/>
          <w:sz w:val="24"/>
          <w:szCs w:val="24"/>
          <w:lang w:val="bg-BG"/>
        </w:rPr>
      </w:pPr>
    </w:p>
    <w:p w:rsidR="00F12338" w:rsidRPr="00B736E0" w:rsidRDefault="00F12338" w:rsidP="00F12338">
      <w:pPr>
        <w:rPr>
          <w:rFonts w:ascii="Times New Roman" w:hAnsi="Times New Roman"/>
          <w:sz w:val="24"/>
          <w:szCs w:val="24"/>
          <w:lang w:val="bg-BG"/>
        </w:rPr>
        <w:sectPr w:rsidR="00F12338" w:rsidRPr="00B736E0">
          <w:pgSz w:w="11906" w:h="16838"/>
          <w:pgMar w:top="1417" w:right="1417" w:bottom="1417" w:left="1417" w:header="850" w:footer="652" w:gutter="0"/>
          <w:paperSrc w:first="1001" w:other="1001"/>
          <w:cols w:space="708"/>
        </w:sectPr>
      </w:pPr>
    </w:p>
    <w:p w:rsidR="00F12338" w:rsidRPr="00B736E0" w:rsidRDefault="00F12338" w:rsidP="00F12338">
      <w:pPr>
        <w:rPr>
          <w:rFonts w:ascii="Times New Roman" w:hAnsi="Times New Roman"/>
          <w:sz w:val="24"/>
          <w:szCs w:val="24"/>
          <w:lang w:val="bg-BG"/>
        </w:rPr>
      </w:pPr>
    </w:p>
    <w:p w:rsidR="00F12338" w:rsidRPr="00B736E0" w:rsidRDefault="00F12338" w:rsidP="00F12338">
      <w:pPr>
        <w:tabs>
          <w:tab w:val="clear" w:pos="1418"/>
          <w:tab w:val="clear" w:pos="2835"/>
          <w:tab w:val="clear" w:pos="4253"/>
          <w:tab w:val="clear" w:pos="5670"/>
          <w:tab w:val="clear" w:pos="7088"/>
          <w:tab w:val="left" w:pos="915"/>
        </w:tabs>
        <w:rPr>
          <w:rFonts w:ascii="Times New Roman" w:hAnsi="Times New Roman"/>
          <w:b/>
          <w:noProof/>
          <w:sz w:val="24"/>
          <w:szCs w:val="24"/>
        </w:rPr>
      </w:pPr>
      <w:r w:rsidRPr="00B736E0">
        <w:rPr>
          <w:rFonts w:ascii="Times New Roman" w:hAnsi="Times New Roman"/>
          <w:sz w:val="24"/>
          <w:szCs w:val="24"/>
          <w:lang w:val="bg-BG"/>
        </w:rPr>
        <w:tab/>
      </w:r>
      <w:r w:rsidRPr="00B736E0">
        <w:rPr>
          <w:rFonts w:ascii="Times New Roman" w:hAnsi="Times New Roman"/>
          <w:b/>
          <w:noProof/>
          <w:sz w:val="24"/>
          <w:szCs w:val="24"/>
        </w:rPr>
        <w:t>Initial Project Risks Register</w:t>
      </w:r>
    </w:p>
    <w:p w:rsidR="00F12338" w:rsidRPr="00B736E0" w:rsidRDefault="00F12338" w:rsidP="00F12338">
      <w:pPr>
        <w:tabs>
          <w:tab w:val="clear" w:pos="1418"/>
          <w:tab w:val="clear" w:pos="2835"/>
          <w:tab w:val="clear" w:pos="4253"/>
          <w:tab w:val="clear" w:pos="5670"/>
          <w:tab w:val="clear" w:pos="7088"/>
          <w:tab w:val="left" w:pos="708"/>
        </w:tabs>
        <w:rPr>
          <w:rFonts w:ascii="Times New Roman" w:hAnsi="Times New Roman"/>
          <w:sz w:val="24"/>
          <w:szCs w:val="24"/>
          <w:lang w:val="bg-BG"/>
        </w:rPr>
      </w:pPr>
      <w:r w:rsidRPr="00B736E0">
        <w:rPr>
          <w:rFonts w:ascii="Times New Roman" w:hAnsi="Times New Roman"/>
          <w:sz w:val="24"/>
          <w:szCs w:val="24"/>
          <w:lang w:val="bg-BG"/>
        </w:rPr>
        <w:tab/>
      </w:r>
    </w:p>
    <w:p w:rsidR="00F12338" w:rsidRPr="00B736E0" w:rsidRDefault="00F12338" w:rsidP="00F12338">
      <w:pPr>
        <w:tabs>
          <w:tab w:val="clear" w:pos="1418"/>
          <w:tab w:val="clear" w:pos="2835"/>
          <w:tab w:val="clear" w:pos="4253"/>
          <w:tab w:val="clear" w:pos="5670"/>
          <w:tab w:val="clear" w:pos="7088"/>
        </w:tabs>
        <w:rPr>
          <w:rFonts w:ascii="Times New Roman" w:hAnsi="Times New Roman"/>
          <w:sz w:val="24"/>
          <w:szCs w:val="24"/>
          <w:lang w:val="bg-BG"/>
        </w:rPr>
      </w:pPr>
      <w:r w:rsidRPr="00B736E0">
        <w:rPr>
          <w:rFonts w:ascii="Times New Roman" w:hAnsi="Times New Roman"/>
          <w:sz w:val="24"/>
          <w:szCs w:val="24"/>
          <w:lang w:val="bg-BG"/>
        </w:rPr>
        <w:tab/>
      </w:r>
    </w:p>
    <w:tbl>
      <w:tblPr>
        <w:tblStyle w:val="TauwTable1"/>
        <w:tblW w:w="0" w:type="auto"/>
        <w:tblLook w:val="04A0" w:firstRow="1" w:lastRow="0" w:firstColumn="1" w:lastColumn="0" w:noHBand="0" w:noVBand="1"/>
      </w:tblPr>
      <w:tblGrid>
        <w:gridCol w:w="325"/>
        <w:gridCol w:w="1851"/>
        <w:gridCol w:w="2028"/>
        <w:gridCol w:w="2609"/>
        <w:gridCol w:w="1851"/>
        <w:gridCol w:w="1369"/>
        <w:gridCol w:w="63"/>
        <w:gridCol w:w="1248"/>
        <w:gridCol w:w="1530"/>
        <w:gridCol w:w="744"/>
      </w:tblGrid>
      <w:tr w:rsidR="0089424D" w:rsidRPr="00B736E0" w:rsidTr="00F12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DFFFF"/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DFFFF"/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DFFFF"/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Undesirable event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DFFFF"/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Cause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DFFFF"/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Effect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DFFFF"/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Risk owner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DFFFF"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CDFFFF"/>
          </w:tcPr>
          <w:p w:rsidR="00F12338" w:rsidRPr="00B736E0" w:rsidRDefault="00D01C74" w:rsidP="00F12338">
            <w:pPr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Probability (P)</w:t>
            </w:r>
          </w:p>
        </w:tc>
        <w:tc>
          <w:tcPr>
            <w:tcW w:w="0" w:type="auto"/>
            <w:shd w:val="clear" w:color="auto" w:fill="CDFFFF"/>
          </w:tcPr>
          <w:p w:rsidR="00F12338" w:rsidRPr="00B736E0" w:rsidRDefault="00D01C74" w:rsidP="00F12338">
            <w:pPr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Consequences (C)</w:t>
            </w:r>
          </w:p>
        </w:tc>
        <w:tc>
          <w:tcPr>
            <w:tcW w:w="0" w:type="auto"/>
            <w:shd w:val="clear" w:color="auto" w:fill="CDFFFF"/>
          </w:tcPr>
          <w:p w:rsidR="00F12338" w:rsidRPr="00B736E0" w:rsidRDefault="00D01C74" w:rsidP="00D01C74">
            <w:pPr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Risk level</w:t>
            </w:r>
            <w:r w:rsidR="00F12338" w:rsidRPr="00B736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F12338" w:rsidRPr="00B736E0">
              <w:rPr>
                <w:rFonts w:ascii="Times New Roman" w:hAnsi="Times New Roman"/>
                <w:sz w:val="24"/>
                <w:szCs w:val="24"/>
                <w:lang w:val="en-US"/>
              </w:rPr>
              <w:t>х</w:t>
            </w: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End"/>
            <w:r w:rsidR="00F12338" w:rsidRPr="00B736E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89424D" w:rsidRPr="00B736E0" w:rsidTr="00F1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Organizational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Site information is not available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Insufficient preparation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Incomplete execution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Contracting authorities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9424D" w:rsidRPr="00B736E0" w:rsidTr="00F12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Organizational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Site information is too late available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Response of stakeholders too late</w:t>
            </w:r>
          </w:p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Stakeholders are not informed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Delay of project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Contracting authorities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9424D" w:rsidRPr="00B736E0" w:rsidTr="00F1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Organizational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Protest stakeholders Insufficient cooperation / commitment stakeholders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Stakeholders are not informed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Delay of project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Contracting authorities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89424D" w:rsidRPr="00B736E0" w:rsidTr="00F12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Organizational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Opening of warehouse postponed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Site owner not informed</w:t>
            </w:r>
          </w:p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Commission too late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Delay of project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Contracting authorities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9424D" w:rsidRPr="00B736E0" w:rsidTr="00F1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Environmental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Working under during extreme weather conditions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Due to planning constrains work continues under these conditions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Delay</w:t>
            </w:r>
          </w:p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Off-site migration of contaminants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Contractor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89424D" w:rsidRPr="00B736E0" w:rsidTr="00F12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Technical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Working in unstable  warehouses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Insufficient measures taken to stabilize the warehouse constructions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Accident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Contractor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89424D" w:rsidRPr="00B736E0" w:rsidTr="00F1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Technical</w:t>
            </w:r>
          </w:p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Financial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Inventory data and reality do not match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Updated of inventory is not correct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Delay</w:t>
            </w:r>
          </w:p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Not all planned main warehouses can be cleaned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Contractor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89424D" w:rsidRPr="00B736E0" w:rsidTr="00F12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Spatial</w:t>
            </w:r>
          </w:p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Technical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Unacceptable nuisance for people living around the site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Insufficient measures taken to control emissions to air and noise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Exposure of people</w:t>
            </w:r>
          </w:p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People need to be evacuated</w:t>
            </w:r>
          </w:p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Claims</w:t>
            </w:r>
          </w:p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Health issues</w:t>
            </w:r>
          </w:p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Reputational damage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Contractor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89424D" w:rsidRPr="00B736E0" w:rsidTr="00F1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Legal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Works are seized by authorities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Not all permits are in place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Delay</w:t>
            </w:r>
          </w:p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Not all planned main warehouses can be cleaned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Contractor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F12338" w:rsidRPr="00B736E0" w:rsidRDefault="00F12338" w:rsidP="00F12338">
            <w:pPr>
              <w:tabs>
                <w:tab w:val="clear" w:pos="1418"/>
                <w:tab w:val="clear" w:pos="2835"/>
                <w:tab w:val="clear" w:pos="4253"/>
                <w:tab w:val="clear" w:pos="5670"/>
                <w:tab w:val="clear" w:pos="7088"/>
                <w:tab w:val="left" w:pos="708"/>
              </w:tabs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0" w:type="auto"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89424D" w:rsidRPr="00B736E0" w:rsidTr="00D01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Owners obstructing the site activities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Owners are not informed</w:t>
            </w:r>
          </w:p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Owners are no satisfied after completion of site activities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Delay</w:t>
            </w:r>
          </w:p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Not all planned main warehouses can be cleaned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Contracting authorities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F12338" w:rsidRPr="00B736E0" w:rsidRDefault="00F12338" w:rsidP="00F12338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89424D" w:rsidRPr="00B736E0" w:rsidTr="00A2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tcBorders>
              <w:top w:val="single" w:sz="2" w:space="0" w:color="auto"/>
              <w:left w:val="nil"/>
              <w:right w:val="nil"/>
            </w:tcBorders>
          </w:tcPr>
          <w:p w:rsidR="00D01C74" w:rsidRPr="00B736E0" w:rsidRDefault="00D01C74" w:rsidP="00D01C74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</w:tcPr>
          <w:p w:rsidR="00D01C74" w:rsidRPr="00B736E0" w:rsidRDefault="00D01C74" w:rsidP="00D01C74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Technological risk / risk related wit information technologies </w:t>
            </w:r>
          </w:p>
        </w:tc>
        <w:tc>
          <w:tcPr>
            <w:tcW w:w="0" w:type="auto"/>
          </w:tcPr>
          <w:p w:rsidR="00D01C74" w:rsidRPr="00B736E0" w:rsidRDefault="00D01C74" w:rsidP="0089424D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Crash in </w:t>
            </w:r>
            <w:r w:rsidR="0089424D" w:rsidRPr="00B736E0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9424D" w:rsidRPr="00B736E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oftware or hardware </w:t>
            </w:r>
            <w:r w:rsidR="0089424D" w:rsidRPr="00B736E0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key information systems</w:t>
            </w:r>
          </w:p>
        </w:tc>
        <w:tc>
          <w:tcPr>
            <w:tcW w:w="0" w:type="auto"/>
          </w:tcPr>
          <w:p w:rsidR="0089424D" w:rsidRPr="00B736E0" w:rsidRDefault="0089424D" w:rsidP="0089424D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Use of old technologies, break in the information security or use of new information systems that are not sufficiently tested, or employees are not trained to the required level.</w:t>
            </w:r>
          </w:p>
        </w:tc>
        <w:tc>
          <w:tcPr>
            <w:tcW w:w="0" w:type="auto"/>
          </w:tcPr>
          <w:p w:rsidR="0089424D" w:rsidRPr="00B736E0" w:rsidRDefault="0089424D" w:rsidP="00D01C74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Technological problems in processing and archiving of information</w:t>
            </w:r>
          </w:p>
          <w:p w:rsidR="00D01C74" w:rsidRPr="00B736E0" w:rsidRDefault="0089424D" w:rsidP="00D01C74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Delay</w:t>
            </w:r>
          </w:p>
          <w:p w:rsidR="00D01C74" w:rsidRPr="00B736E0" w:rsidRDefault="00D01C74" w:rsidP="00D01C74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D01C74" w:rsidRPr="00B736E0" w:rsidRDefault="0089424D" w:rsidP="0089424D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Contracting authorities Contractor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right w:val="nil"/>
            </w:tcBorders>
          </w:tcPr>
          <w:p w:rsidR="00D01C74" w:rsidRPr="00B736E0" w:rsidRDefault="00D01C74" w:rsidP="00D01C74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D01C74" w:rsidRPr="00B736E0" w:rsidRDefault="00D01C74" w:rsidP="00D01C74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D01C74" w:rsidRPr="00B736E0" w:rsidRDefault="00D01C74" w:rsidP="00D01C74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D01C74" w:rsidRPr="00B736E0" w:rsidRDefault="00D01C74" w:rsidP="00D01C74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89424D" w:rsidRPr="00B736E0" w:rsidTr="00F261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tcBorders>
              <w:top w:val="single" w:sz="2" w:space="0" w:color="auto"/>
              <w:left w:val="nil"/>
              <w:right w:val="nil"/>
            </w:tcBorders>
          </w:tcPr>
          <w:p w:rsidR="00D01C74" w:rsidRPr="00B736E0" w:rsidRDefault="00D01C74" w:rsidP="00D01C74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 w:rsidR="00D01C74" w:rsidRPr="00B736E0" w:rsidRDefault="0089424D" w:rsidP="00D01C74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Natural disasters, accidents, sabotage and terrorist attacks</w:t>
            </w:r>
          </w:p>
        </w:tc>
        <w:tc>
          <w:tcPr>
            <w:tcW w:w="0" w:type="auto"/>
          </w:tcPr>
          <w:p w:rsidR="00D01C74" w:rsidRPr="00B736E0" w:rsidRDefault="0089424D" w:rsidP="0089424D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Earthquakes, floods, fires, damage (intentional and unintentional) on equipment and vehicles</w:t>
            </w:r>
          </w:p>
        </w:tc>
        <w:tc>
          <w:tcPr>
            <w:tcW w:w="0" w:type="auto"/>
          </w:tcPr>
          <w:p w:rsidR="0089424D" w:rsidRPr="00B736E0" w:rsidRDefault="0089424D" w:rsidP="0089424D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Unexpected natural cataclysms</w:t>
            </w:r>
          </w:p>
          <w:p w:rsidR="00D01C74" w:rsidRPr="00B736E0" w:rsidRDefault="0089424D" w:rsidP="0089424D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Unexpected accidents</w:t>
            </w:r>
          </w:p>
        </w:tc>
        <w:tc>
          <w:tcPr>
            <w:tcW w:w="0" w:type="auto"/>
          </w:tcPr>
          <w:p w:rsidR="00D01C74" w:rsidRPr="00B736E0" w:rsidRDefault="0089424D" w:rsidP="00D01C74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Delay</w:t>
            </w:r>
          </w:p>
          <w:p w:rsidR="00D01C74" w:rsidRPr="00B736E0" w:rsidRDefault="0089424D" w:rsidP="00D01C74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Off-site migration of contaminants</w:t>
            </w:r>
          </w:p>
        </w:tc>
        <w:tc>
          <w:tcPr>
            <w:tcW w:w="0" w:type="auto"/>
          </w:tcPr>
          <w:p w:rsidR="00D01C74" w:rsidRPr="00B736E0" w:rsidRDefault="0089424D" w:rsidP="00D01C74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Contractor</w:t>
            </w:r>
          </w:p>
        </w:tc>
        <w:tc>
          <w:tcPr>
            <w:tcW w:w="0" w:type="auto"/>
          </w:tcPr>
          <w:p w:rsidR="00D01C74" w:rsidRPr="00B736E0" w:rsidRDefault="00D01C74" w:rsidP="00D01C74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D01C74" w:rsidRPr="00B736E0" w:rsidRDefault="00D01C74" w:rsidP="00D01C74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D01C74" w:rsidRPr="00B736E0" w:rsidRDefault="00D01C74" w:rsidP="00D01C74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D01C74" w:rsidRPr="00B736E0" w:rsidRDefault="00D01C74" w:rsidP="00D01C74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6E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D01C74" w:rsidRPr="00B736E0" w:rsidRDefault="00D01C74" w:rsidP="00D01C74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01C74" w:rsidRPr="00B736E0" w:rsidRDefault="00D01C74" w:rsidP="00D01C74">
      <w:pPr>
        <w:rPr>
          <w:rFonts w:ascii="Times New Roman" w:hAnsi="Times New Roman"/>
          <w:sz w:val="24"/>
          <w:szCs w:val="24"/>
          <w:lang w:val="bg-BG"/>
        </w:rPr>
      </w:pPr>
      <w:r w:rsidRPr="00B736E0">
        <w:rPr>
          <w:rFonts w:ascii="Times New Roman" w:hAnsi="Times New Roman"/>
          <w:b/>
          <w:sz w:val="24"/>
          <w:szCs w:val="24"/>
          <w:lang w:val="en-US"/>
        </w:rPr>
        <w:t>Legend</w:t>
      </w:r>
      <w:r w:rsidRPr="00B736E0">
        <w:rPr>
          <w:rFonts w:ascii="Times New Roman" w:hAnsi="Times New Roman"/>
          <w:sz w:val="24"/>
          <w:szCs w:val="24"/>
          <w:lang w:val="bg-BG"/>
        </w:rPr>
        <w:t>:</w:t>
      </w:r>
    </w:p>
    <w:p w:rsidR="00D01C74" w:rsidRPr="00B736E0" w:rsidRDefault="00D01C74" w:rsidP="00D01C74">
      <w:pPr>
        <w:rPr>
          <w:rFonts w:ascii="Times New Roman" w:hAnsi="Times New Roman"/>
          <w:sz w:val="24"/>
          <w:szCs w:val="24"/>
          <w:lang w:val="en-US"/>
        </w:rPr>
      </w:pPr>
      <w:r w:rsidRPr="00B736E0">
        <w:rPr>
          <w:rFonts w:ascii="Times New Roman" w:hAnsi="Times New Roman"/>
          <w:sz w:val="24"/>
          <w:szCs w:val="24"/>
          <w:lang w:val="en-US"/>
        </w:rPr>
        <w:t>Probability: 0 - Practically impossible; 1 - -Low probability; 2 – Medium probability; 3 - High probability</w:t>
      </w:r>
    </w:p>
    <w:p w:rsidR="00701520" w:rsidRPr="00B736E0" w:rsidRDefault="00D01C74" w:rsidP="00701520">
      <w:pPr>
        <w:rPr>
          <w:rFonts w:ascii="Times New Roman" w:hAnsi="Times New Roman"/>
          <w:sz w:val="24"/>
          <w:szCs w:val="24"/>
          <w:lang w:val="en-US"/>
        </w:rPr>
      </w:pPr>
      <w:r w:rsidRPr="00B736E0">
        <w:rPr>
          <w:rFonts w:ascii="Times New Roman" w:hAnsi="Times New Roman"/>
          <w:sz w:val="24"/>
          <w:szCs w:val="24"/>
          <w:lang w:val="en-US"/>
        </w:rPr>
        <w:t>Consequences: 1 - Small; 2 - Medium; 3 - Serious; 4 - Hazardous; 5 – Catastrophic</w:t>
      </w:r>
    </w:p>
    <w:sectPr w:rsidR="00701520" w:rsidRPr="00B736E0" w:rsidSect="0089424D">
      <w:pgSz w:w="16838" w:h="11906" w:orient="landscape" w:code="9"/>
      <w:pgMar w:top="1843" w:right="2155" w:bottom="1843" w:left="1065" w:header="1304" w:footer="652" w:gutter="0"/>
      <w:paperSrc w:first="1001" w:other="1001"/>
      <w:cols w:space="708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050" w:rsidRDefault="00AA7050" w:rsidP="005F7D0E">
      <w:pPr>
        <w:spacing w:line="240" w:lineRule="auto"/>
      </w:pPr>
      <w:r>
        <w:separator/>
      </w:r>
    </w:p>
  </w:endnote>
  <w:endnote w:type="continuationSeparator" w:id="0">
    <w:p w:rsidR="00AA7050" w:rsidRDefault="00AA7050" w:rsidP="005F7D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17F" w:rsidRDefault="00F6144C">
    <w:pPr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17F" w:rsidRPr="00E3340B" w:rsidRDefault="00F6144C" w:rsidP="00E334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17F" w:rsidRDefault="00F6144C">
    <w:pPr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050" w:rsidRDefault="00AA7050" w:rsidP="005F7D0E">
      <w:pPr>
        <w:spacing w:line="240" w:lineRule="auto"/>
      </w:pPr>
      <w:r>
        <w:separator/>
      </w:r>
    </w:p>
  </w:footnote>
  <w:footnote w:type="continuationSeparator" w:id="0">
    <w:p w:rsidR="00AA7050" w:rsidRDefault="00AA7050" w:rsidP="005F7D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312A1"/>
    <w:multiLevelType w:val="multilevel"/>
    <w:tmpl w:val="C7A4759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9"/>
        <w:szCs w:val="19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90"/>
      </w:rPr>
    </w:lvl>
    <w:lvl w:ilvl="5">
      <w:start w:val="1"/>
      <w:numFmt w:val="decimal"/>
      <w:lvlRestart w:val="3"/>
      <w:pStyle w:val="Heading6"/>
      <w:lvlText w:val="%1.%2.%3.%6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9"/>
        <w:szCs w:val="19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D9"/>
    <w:rsid w:val="00000D3E"/>
    <w:rsid w:val="00015D80"/>
    <w:rsid w:val="00100983"/>
    <w:rsid w:val="001E16B9"/>
    <w:rsid w:val="001F7BDE"/>
    <w:rsid w:val="00204FB1"/>
    <w:rsid w:val="00232922"/>
    <w:rsid w:val="0024636B"/>
    <w:rsid w:val="0027767A"/>
    <w:rsid w:val="0028140F"/>
    <w:rsid w:val="003D4F0D"/>
    <w:rsid w:val="00405DC0"/>
    <w:rsid w:val="005324D9"/>
    <w:rsid w:val="005B062E"/>
    <w:rsid w:val="005F7D0E"/>
    <w:rsid w:val="00652D3B"/>
    <w:rsid w:val="006600E5"/>
    <w:rsid w:val="00701520"/>
    <w:rsid w:val="00783BF4"/>
    <w:rsid w:val="007B6992"/>
    <w:rsid w:val="0089424D"/>
    <w:rsid w:val="00915B47"/>
    <w:rsid w:val="00917DA2"/>
    <w:rsid w:val="009202D6"/>
    <w:rsid w:val="0092403A"/>
    <w:rsid w:val="00964E03"/>
    <w:rsid w:val="009D46C6"/>
    <w:rsid w:val="009F7200"/>
    <w:rsid w:val="00A022DA"/>
    <w:rsid w:val="00AA2947"/>
    <w:rsid w:val="00AA7050"/>
    <w:rsid w:val="00AF0D73"/>
    <w:rsid w:val="00B736E0"/>
    <w:rsid w:val="00CE317C"/>
    <w:rsid w:val="00CF1C23"/>
    <w:rsid w:val="00D01C74"/>
    <w:rsid w:val="00DA20E2"/>
    <w:rsid w:val="00DA53F7"/>
    <w:rsid w:val="00E87CAF"/>
    <w:rsid w:val="00EC0380"/>
    <w:rsid w:val="00F12338"/>
    <w:rsid w:val="00F6144C"/>
    <w:rsid w:val="00F7183E"/>
    <w:rsid w:val="00F847F9"/>
    <w:rsid w:val="00F9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BF115CD-5FC0-4F5A-827F-23ED6F28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C74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after="0" w:line="284" w:lineRule="atLeast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Heading1">
    <w:name w:val="heading 1"/>
    <w:next w:val="Normal"/>
    <w:link w:val="Heading1Char"/>
    <w:qFormat/>
    <w:rsid w:val="005F7D0E"/>
    <w:pPr>
      <w:keepNext/>
      <w:numPr>
        <w:numId w:val="1"/>
      </w:numPr>
      <w:spacing w:before="567" w:after="567" w:line="240" w:lineRule="auto"/>
      <w:contextualSpacing/>
      <w:outlineLvl w:val="0"/>
    </w:pPr>
    <w:rPr>
      <w:rFonts w:ascii="Arial" w:eastAsia="Times New Roman" w:hAnsi="Arial" w:cs="Arial"/>
      <w:b/>
      <w:noProof/>
      <w:kern w:val="28"/>
      <w:sz w:val="32"/>
      <w:szCs w:val="20"/>
      <w:lang w:val="en-GB" w:eastAsia="nl-NL"/>
    </w:rPr>
  </w:style>
  <w:style w:type="paragraph" w:styleId="Heading2">
    <w:name w:val="heading 2"/>
    <w:next w:val="Normal"/>
    <w:link w:val="Heading2Char"/>
    <w:qFormat/>
    <w:rsid w:val="005F7D0E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Arial"/>
      <w:b/>
      <w:szCs w:val="20"/>
      <w:lang w:val="en-GB" w:eastAsia="nl-NL"/>
    </w:rPr>
  </w:style>
  <w:style w:type="paragraph" w:styleId="Heading3">
    <w:name w:val="heading 3"/>
    <w:next w:val="Normal"/>
    <w:link w:val="Heading3Char"/>
    <w:qFormat/>
    <w:rsid w:val="005F7D0E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 w:cs="Arial"/>
      <w:b/>
      <w:sz w:val="19"/>
      <w:szCs w:val="20"/>
      <w:lang w:val="en-GB" w:eastAsia="nl-NL"/>
    </w:rPr>
  </w:style>
  <w:style w:type="paragraph" w:styleId="Heading5">
    <w:name w:val="heading 5"/>
    <w:next w:val="Normal"/>
    <w:link w:val="Heading5Char"/>
    <w:qFormat/>
    <w:rsid w:val="005F7D0E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szCs w:val="20"/>
      <w:lang w:val="nl-NL" w:eastAsia="nl-NL"/>
    </w:rPr>
  </w:style>
  <w:style w:type="paragraph" w:styleId="Heading6">
    <w:name w:val="heading 6"/>
    <w:next w:val="Normal"/>
    <w:link w:val="Heading6Char"/>
    <w:qFormat/>
    <w:rsid w:val="005F7D0E"/>
    <w:pPr>
      <w:keepNext/>
      <w:numPr>
        <w:ilvl w:val="5"/>
        <w:numId w:val="1"/>
      </w:numPr>
      <w:spacing w:after="0" w:line="240" w:lineRule="auto"/>
      <w:outlineLvl w:val="5"/>
    </w:pPr>
    <w:rPr>
      <w:rFonts w:ascii="Arial" w:eastAsia="Times New Roman" w:hAnsi="Arial" w:cs="Times New Roman"/>
      <w:b/>
      <w:sz w:val="19"/>
      <w:szCs w:val="19"/>
      <w:lang w:val="en-GB" w:eastAsia="nl-NL"/>
    </w:rPr>
  </w:style>
  <w:style w:type="paragraph" w:styleId="Heading7">
    <w:name w:val="heading 7"/>
    <w:basedOn w:val="Normal"/>
    <w:next w:val="Normal"/>
    <w:link w:val="Heading7Char"/>
    <w:qFormat/>
    <w:rsid w:val="005F7D0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F7D0E"/>
    <w:pPr>
      <w:numPr>
        <w:ilvl w:val="7"/>
        <w:numId w:val="1"/>
      </w:numPr>
      <w:tabs>
        <w:tab w:val="clear" w:pos="1440"/>
      </w:tabs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5F7D0E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7D0E"/>
    <w:rPr>
      <w:rFonts w:ascii="Arial" w:eastAsia="Times New Roman" w:hAnsi="Arial" w:cs="Arial"/>
      <w:b/>
      <w:noProof/>
      <w:kern w:val="28"/>
      <w:sz w:val="32"/>
      <w:szCs w:val="20"/>
      <w:lang w:val="en-GB" w:eastAsia="nl-NL"/>
    </w:rPr>
  </w:style>
  <w:style w:type="character" w:customStyle="1" w:styleId="Heading2Char">
    <w:name w:val="Heading 2 Char"/>
    <w:basedOn w:val="DefaultParagraphFont"/>
    <w:link w:val="Heading2"/>
    <w:rsid w:val="005F7D0E"/>
    <w:rPr>
      <w:rFonts w:ascii="Arial" w:eastAsia="Times New Roman" w:hAnsi="Arial" w:cs="Arial"/>
      <w:b/>
      <w:szCs w:val="20"/>
      <w:lang w:val="en-GB" w:eastAsia="nl-NL"/>
    </w:rPr>
  </w:style>
  <w:style w:type="character" w:customStyle="1" w:styleId="Heading3Char">
    <w:name w:val="Heading 3 Char"/>
    <w:basedOn w:val="DefaultParagraphFont"/>
    <w:link w:val="Heading3"/>
    <w:rsid w:val="005F7D0E"/>
    <w:rPr>
      <w:rFonts w:ascii="Arial" w:eastAsia="Times New Roman" w:hAnsi="Arial" w:cs="Arial"/>
      <w:b/>
      <w:sz w:val="19"/>
      <w:szCs w:val="20"/>
      <w:lang w:val="en-GB" w:eastAsia="nl-NL"/>
    </w:rPr>
  </w:style>
  <w:style w:type="character" w:customStyle="1" w:styleId="Heading5Char">
    <w:name w:val="Heading 5 Char"/>
    <w:basedOn w:val="DefaultParagraphFont"/>
    <w:link w:val="Heading5"/>
    <w:rsid w:val="005F7D0E"/>
    <w:rPr>
      <w:rFonts w:ascii="Arial" w:eastAsia="Times New Roman" w:hAnsi="Arial" w:cs="Times New Roman"/>
      <w:b/>
      <w:szCs w:val="20"/>
      <w:lang w:val="nl-NL" w:eastAsia="nl-NL"/>
    </w:rPr>
  </w:style>
  <w:style w:type="character" w:customStyle="1" w:styleId="Heading6Char">
    <w:name w:val="Heading 6 Char"/>
    <w:basedOn w:val="DefaultParagraphFont"/>
    <w:link w:val="Heading6"/>
    <w:rsid w:val="005F7D0E"/>
    <w:rPr>
      <w:rFonts w:ascii="Arial" w:eastAsia="Times New Roman" w:hAnsi="Arial" w:cs="Times New Roman"/>
      <w:b/>
      <w:sz w:val="19"/>
      <w:szCs w:val="19"/>
      <w:lang w:val="en-GB" w:eastAsia="nl-NL"/>
    </w:rPr>
  </w:style>
  <w:style w:type="character" w:customStyle="1" w:styleId="Heading7Char">
    <w:name w:val="Heading 7 Char"/>
    <w:basedOn w:val="DefaultParagraphFont"/>
    <w:link w:val="Heading7"/>
    <w:rsid w:val="005F7D0E"/>
    <w:rPr>
      <w:rFonts w:ascii="Arial" w:eastAsia="Times New Roman" w:hAnsi="Arial" w:cs="Times New Roman"/>
      <w:sz w:val="19"/>
      <w:szCs w:val="19"/>
      <w:lang w:val="en-GB" w:eastAsia="nl-NL"/>
    </w:rPr>
  </w:style>
  <w:style w:type="character" w:customStyle="1" w:styleId="Heading8Char">
    <w:name w:val="Heading 8 Char"/>
    <w:basedOn w:val="DefaultParagraphFont"/>
    <w:link w:val="Heading8"/>
    <w:rsid w:val="005F7D0E"/>
    <w:rPr>
      <w:rFonts w:ascii="Arial" w:eastAsia="Times New Roman" w:hAnsi="Arial" w:cs="Times New Roman"/>
      <w:i/>
      <w:sz w:val="19"/>
      <w:szCs w:val="19"/>
      <w:lang w:val="en-GB" w:eastAsia="nl-NL"/>
    </w:rPr>
  </w:style>
  <w:style w:type="character" w:customStyle="1" w:styleId="Heading9Char">
    <w:name w:val="Heading 9 Char"/>
    <w:basedOn w:val="DefaultParagraphFont"/>
    <w:link w:val="Heading9"/>
    <w:rsid w:val="005F7D0E"/>
    <w:rPr>
      <w:rFonts w:ascii="Arial" w:eastAsia="Times New Roman" w:hAnsi="Arial" w:cs="Times New Roman"/>
      <w:b/>
      <w:i/>
      <w:sz w:val="18"/>
      <w:szCs w:val="19"/>
      <w:lang w:val="en-GB" w:eastAsia="nl-NL"/>
    </w:rPr>
  </w:style>
  <w:style w:type="paragraph" w:styleId="Header">
    <w:name w:val="header"/>
    <w:basedOn w:val="Normal"/>
    <w:link w:val="HeaderChar"/>
    <w:rsid w:val="005F7D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F7D0E"/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Footer">
    <w:name w:val="footer"/>
    <w:basedOn w:val="Normal"/>
    <w:link w:val="FooterChar"/>
    <w:rsid w:val="005F7D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F7D0E"/>
    <w:rPr>
      <w:rFonts w:ascii="Arial" w:eastAsia="Times New Roman" w:hAnsi="Arial" w:cs="Times New Roman"/>
      <w:sz w:val="19"/>
      <w:szCs w:val="19"/>
      <w:lang w:val="en-GB" w:eastAsia="nl-NL"/>
    </w:rPr>
  </w:style>
  <w:style w:type="paragraph" w:customStyle="1" w:styleId="ArialBold7pt">
    <w:name w:val="Arial Bold 7pt"/>
    <w:basedOn w:val="Normal"/>
    <w:rsid w:val="005F7D0E"/>
    <w:rPr>
      <w:b/>
      <w:noProof/>
      <w:sz w:val="14"/>
    </w:rPr>
  </w:style>
  <w:style w:type="table" w:customStyle="1" w:styleId="TauwTable">
    <w:name w:val="Tauw Table"/>
    <w:basedOn w:val="TableNormal"/>
    <w:semiHidden/>
    <w:rsid w:val="005F7D0E"/>
    <w:pPr>
      <w:spacing w:after="0" w:line="240" w:lineRule="auto"/>
    </w:pPr>
    <w:rPr>
      <w:rFonts w:ascii="Arial" w:eastAsia="Times New Roman" w:hAnsi="Arial" w:cs="Times New Roman"/>
      <w:sz w:val="14"/>
      <w:szCs w:val="20"/>
      <w:lang w:val="en-GB" w:eastAsia="nl-NL"/>
    </w:rPr>
    <w:tblPr>
      <w:tblStyleRowBandSize w:val="1"/>
      <w:tblInd w:w="0" w:type="dxa"/>
      <w:tblCellMar>
        <w:top w:w="0" w:type="dxa"/>
        <w:left w:w="0" w:type="dxa"/>
        <w:bottom w:w="0" w:type="dxa"/>
        <w:right w:w="57" w:type="dxa"/>
      </w:tblCellMar>
    </w:tblPr>
    <w:tblStylePr w:type="firstRow">
      <w:rPr>
        <w:rFonts w:ascii="Arial" w:hAnsi="Arial"/>
        <w:b/>
        <w:sz w:val="14"/>
      </w:rPr>
      <w:tblPr/>
      <w:tcPr>
        <w:tcBorders>
          <w:top w:val="single" w:sz="6" w:space="0" w:color="auto"/>
          <w:bottom w:val="single" w:sz="6" w:space="0" w:color="auto"/>
        </w:tcBorders>
      </w:tcPr>
    </w:tblStylePr>
    <w:tblStylePr w:type="band1Horz">
      <w:tblPr/>
      <w:tcPr>
        <w:tcBorders>
          <w:bottom w:val="single" w:sz="2" w:space="0" w:color="auto"/>
        </w:tcBorders>
      </w:tcPr>
    </w:tblStylePr>
    <w:tblStylePr w:type="band2Horz">
      <w:tblPr/>
      <w:tcPr>
        <w:tcBorders>
          <w:bottom w:val="single" w:sz="2" w:space="0" w:color="auto"/>
        </w:tcBorders>
      </w:tcPr>
    </w:tblStylePr>
  </w:style>
  <w:style w:type="paragraph" w:customStyle="1" w:styleId="Enclosure">
    <w:name w:val="Enclosure"/>
    <w:basedOn w:val="Normal"/>
    <w:rsid w:val="005F7D0E"/>
    <w:pPr>
      <w:tabs>
        <w:tab w:val="clear" w:pos="1418"/>
        <w:tab w:val="clear" w:pos="2835"/>
        <w:tab w:val="clear" w:pos="4253"/>
        <w:tab w:val="clear" w:pos="5670"/>
        <w:tab w:val="clear" w:pos="7088"/>
      </w:tabs>
      <w:spacing w:line="567" w:lineRule="exact"/>
      <w:ind w:left="569"/>
    </w:pPr>
    <w:rPr>
      <w:b/>
      <w:sz w:val="50"/>
      <w:szCs w:val="20"/>
    </w:rPr>
  </w:style>
  <w:style w:type="paragraph" w:customStyle="1" w:styleId="EnclosureIntroText">
    <w:name w:val="Enclosure_IntroText"/>
    <w:basedOn w:val="Heading5"/>
    <w:rsid w:val="005F7D0E"/>
    <w:pPr>
      <w:numPr>
        <w:ilvl w:val="0"/>
        <w:numId w:val="0"/>
      </w:numPr>
    </w:pPr>
  </w:style>
  <w:style w:type="paragraph" w:customStyle="1" w:styleId="TableCaption">
    <w:name w:val="Table_Caption"/>
    <w:basedOn w:val="Caption"/>
    <w:next w:val="Normal"/>
    <w:rsid w:val="005F7D0E"/>
    <w:pPr>
      <w:keepNext/>
      <w:tabs>
        <w:tab w:val="clear" w:pos="1418"/>
        <w:tab w:val="clear" w:pos="2835"/>
        <w:tab w:val="clear" w:pos="4253"/>
        <w:tab w:val="clear" w:pos="5670"/>
        <w:tab w:val="clear" w:pos="7088"/>
        <w:tab w:val="left" w:pos="737"/>
        <w:tab w:val="left" w:pos="1304"/>
        <w:tab w:val="left" w:pos="1814"/>
        <w:tab w:val="left" w:pos="2155"/>
        <w:tab w:val="left" w:pos="2495"/>
        <w:tab w:val="left" w:pos="2892"/>
        <w:tab w:val="left" w:pos="3856"/>
        <w:tab w:val="left" w:pos="4706"/>
        <w:tab w:val="left" w:pos="5557"/>
        <w:tab w:val="left" w:pos="6407"/>
        <w:tab w:val="left" w:pos="7258"/>
      </w:tabs>
      <w:spacing w:after="0" w:line="284" w:lineRule="atLeast"/>
      <w:ind w:left="28" w:right="28"/>
    </w:pPr>
    <w:rPr>
      <w:b/>
      <w:i w:val="0"/>
      <w:iCs w:val="0"/>
      <w:noProof/>
      <w:color w:val="auto"/>
      <w:sz w:val="16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D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uwTable1">
    <w:name w:val="Tauw Table1"/>
    <w:basedOn w:val="TableNormal"/>
    <w:semiHidden/>
    <w:rsid w:val="00F12338"/>
    <w:pPr>
      <w:spacing w:after="0" w:line="240" w:lineRule="auto"/>
    </w:pPr>
    <w:rPr>
      <w:rFonts w:ascii="Arial" w:eastAsia="Times New Roman" w:hAnsi="Arial" w:cs="Times New Roman"/>
      <w:sz w:val="14"/>
      <w:szCs w:val="20"/>
      <w:lang w:val="en-GB" w:eastAsia="nl-NL"/>
    </w:rPr>
    <w:tblPr>
      <w:tblStyleRowBandSize w:val="1"/>
      <w:tblInd w:w="0" w:type="dxa"/>
      <w:tblCellMar>
        <w:top w:w="0" w:type="dxa"/>
        <w:left w:w="0" w:type="dxa"/>
        <w:bottom w:w="0" w:type="dxa"/>
        <w:right w:w="57" w:type="dxa"/>
      </w:tblCellMar>
    </w:tblPr>
    <w:tblStylePr w:type="firstRow">
      <w:rPr>
        <w:rFonts w:ascii="Arial" w:hAnsi="Arial" w:cs="Arial" w:hint="default"/>
        <w:b/>
        <w:sz w:val="14"/>
        <w:szCs w:val="14"/>
      </w:rPr>
      <w:tblPr/>
      <w:tcPr>
        <w:tcBorders>
          <w:top w:val="single" w:sz="6" w:space="0" w:color="auto"/>
          <w:bottom w:val="single" w:sz="6" w:space="0" w:color="auto"/>
        </w:tcBorders>
      </w:tcPr>
    </w:tblStylePr>
    <w:tblStylePr w:type="band1Horz">
      <w:tblPr/>
      <w:tcPr>
        <w:tcBorders>
          <w:bottom w:val="single" w:sz="2" w:space="0" w:color="auto"/>
        </w:tcBorders>
      </w:tcPr>
    </w:tblStylePr>
    <w:tblStylePr w:type="band2Horz">
      <w:tblPr/>
      <w:tcPr>
        <w:tcBorders>
          <w:bottom w:val="single" w:sz="2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Topalova</dc:creator>
  <cp:keywords/>
  <dc:description/>
  <cp:lastModifiedBy>Sneji</cp:lastModifiedBy>
  <cp:revision>2</cp:revision>
  <cp:lastPrinted>2017-10-27T11:23:00Z</cp:lastPrinted>
  <dcterms:created xsi:type="dcterms:W3CDTF">2017-11-14T07:35:00Z</dcterms:created>
  <dcterms:modified xsi:type="dcterms:W3CDTF">2017-11-14T07:35:00Z</dcterms:modified>
</cp:coreProperties>
</file>